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F4" w:rsidRDefault="007121F4" w:rsidP="007121F4">
      <w:pPr>
        <w:pStyle w:val="Sinespaciado"/>
      </w:pPr>
      <w:r>
        <w:t>COMUNICACION B.C.R.A. “B” 11.667</w:t>
      </w:r>
      <w:bookmarkStart w:id="0" w:name="_GoBack"/>
      <w:bookmarkEnd w:id="0"/>
    </w:p>
    <w:p w:rsidR="007121F4" w:rsidRDefault="007121F4" w:rsidP="007121F4">
      <w:pPr>
        <w:pStyle w:val="Sinespaciado"/>
      </w:pPr>
      <w:r>
        <w:t>Buenos Aires, 15 de febrero de 2018</w:t>
      </w:r>
    </w:p>
    <w:p w:rsidR="007121F4" w:rsidRDefault="007121F4" w:rsidP="007121F4">
      <w:pPr>
        <w:pStyle w:val="Sinespaciado"/>
      </w:pPr>
      <w:r>
        <w:t>Fuente: página web B.C.R.A.</w:t>
      </w:r>
    </w:p>
    <w:p w:rsidR="007121F4" w:rsidRDefault="007121F4" w:rsidP="007121F4">
      <w:pPr>
        <w:pStyle w:val="Sinespaciado"/>
      </w:pPr>
      <w:r>
        <w:t>Vigencia: 15/2/18</w:t>
      </w:r>
    </w:p>
    <w:p w:rsidR="007121F4" w:rsidRDefault="007121F4" w:rsidP="007121F4">
      <w:pPr>
        <w:pStyle w:val="Sinespaciado"/>
      </w:pPr>
      <w:proofErr w:type="spellStart"/>
      <w:r>
        <w:t>Circ</w:t>
      </w:r>
      <w:proofErr w:type="spellEnd"/>
      <w:r>
        <w:t>. OPASI-2. Coeficiente de Estabilización de Referencia (CER). Período: 16/2 al 15/3/18.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A las Entidades Financieras: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Nos dirigimos a Uds. para comunicarles, en anexo, los valores diarios del Coeficiente de Estabilización de Referencia (CER).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Saludamos a Uds. atentamente.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BANCO CENTRAL DE LA REPUBLICA ARGENTINA</w:t>
      </w:r>
    </w:p>
    <w:p w:rsidR="007121F4" w:rsidRDefault="007121F4" w:rsidP="007121F4">
      <w:pPr>
        <w:pStyle w:val="Sinespaciado"/>
      </w:pPr>
      <w:r>
        <w:t>Ricardo Martínez,</w:t>
      </w:r>
    </w:p>
    <w:p w:rsidR="007121F4" w:rsidRDefault="007121F4" w:rsidP="007121F4">
      <w:pPr>
        <w:pStyle w:val="Sinespaciado"/>
      </w:pPr>
      <w:proofErr w:type="gramStart"/>
      <w:r>
        <w:t>gerente</w:t>
      </w:r>
      <w:proofErr w:type="gramEnd"/>
      <w:r>
        <w:t xml:space="preserve"> de</w:t>
      </w:r>
    </w:p>
    <w:p w:rsidR="007121F4" w:rsidRDefault="007121F4" w:rsidP="007121F4">
      <w:pPr>
        <w:pStyle w:val="Sinespaciado"/>
      </w:pPr>
      <w:r>
        <w:t>Estadísticas Monetarias</w:t>
      </w:r>
      <w:r>
        <w:tab/>
        <w:t xml:space="preserve">Hilda Beatriz </w:t>
      </w:r>
      <w:proofErr w:type="spellStart"/>
      <w:r>
        <w:t>Biasone</w:t>
      </w:r>
      <w:proofErr w:type="spellEnd"/>
      <w:r>
        <w:t>,</w:t>
      </w:r>
    </w:p>
    <w:p w:rsidR="007121F4" w:rsidRDefault="007121F4" w:rsidP="007121F4">
      <w:pPr>
        <w:pStyle w:val="Sinespaciado"/>
      </w:pPr>
      <w:proofErr w:type="gramStart"/>
      <w:r>
        <w:t>gerente</w:t>
      </w:r>
      <w:proofErr w:type="gramEnd"/>
      <w:r>
        <w:t xml:space="preserve"> principal</w:t>
      </w:r>
    </w:p>
    <w:p w:rsidR="007121F4" w:rsidRDefault="007121F4" w:rsidP="007121F4">
      <w:pPr>
        <w:pStyle w:val="Sinespaciado"/>
      </w:pPr>
      <w:proofErr w:type="gramStart"/>
      <w:r>
        <w:t>de</w:t>
      </w:r>
      <w:proofErr w:type="gramEnd"/>
      <w:r>
        <w:t xml:space="preserve"> Estadísticas</w:t>
      </w:r>
    </w:p>
    <w:p w:rsidR="007121F4" w:rsidRDefault="007121F4" w:rsidP="007121F4">
      <w:pPr>
        <w:pStyle w:val="Sinespaciado"/>
      </w:pPr>
      <w:r>
        <w:t>ANEXO</w:t>
      </w:r>
    </w:p>
    <w:p w:rsidR="007121F4" w:rsidRDefault="007121F4" w:rsidP="007121F4">
      <w:pPr>
        <w:pStyle w:val="Sinespaciado"/>
      </w:pPr>
      <w:r>
        <w:t>Toda la información disponible (incluyendo más decimales de los que pueden visualizarse en el siguiente cuadro) puede ser consultada accediendo a: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 xml:space="preserve">www.bcra.gob.ar|Publicaciones y </w:t>
      </w:r>
      <w:proofErr w:type="spellStart"/>
      <w:r>
        <w:t>estadísticas|Estadísticas|Monetarias</w:t>
      </w:r>
      <w:proofErr w:type="spellEnd"/>
      <w:r>
        <w:t xml:space="preserve"> y </w:t>
      </w:r>
      <w:proofErr w:type="spellStart"/>
      <w:r>
        <w:t>financieras|Cuadros</w:t>
      </w:r>
      <w:proofErr w:type="spellEnd"/>
      <w:r>
        <w:t xml:space="preserve"> estandarizados de series </w:t>
      </w:r>
      <w:proofErr w:type="spellStart"/>
      <w:r>
        <w:t>estadísticas|Tasas</w:t>
      </w:r>
      <w:proofErr w:type="spellEnd"/>
      <w:r>
        <w:t xml:space="preserve"> de </w:t>
      </w:r>
      <w:proofErr w:type="spellStart"/>
      <w:r>
        <w:t>interés|Tasas</w:t>
      </w:r>
      <w:proofErr w:type="spellEnd"/>
      <w:r>
        <w:t xml:space="preserve"> de interés y coeficientes de ajuste establecidos por el </w:t>
      </w:r>
      <w:proofErr w:type="spellStart"/>
      <w:r>
        <w:t>B.C.R.A.|Coeficiente</w:t>
      </w:r>
      <w:proofErr w:type="spellEnd"/>
      <w:r>
        <w:t xml:space="preserve"> de Estabilización de Referencia (CER), serie diaria.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– Archivos de datos: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proofErr w:type="gramStart"/>
      <w:r>
        <w:t>http</w:t>
      </w:r>
      <w:proofErr w:type="gramEnd"/>
      <w:r>
        <w:t xml:space="preserve">://www.bcra.gob.ar/pdfs/Publicacionesestadisticas/ceraaaa.xls, donde </w:t>
      </w:r>
      <w:proofErr w:type="spellStart"/>
      <w:r>
        <w:t>aaaa</w:t>
      </w:r>
      <w:proofErr w:type="spellEnd"/>
      <w:r>
        <w:t xml:space="preserve"> indica el año.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– Referencias metodológicas: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http://www.bcra.gob.ar/pdfs/Publicacionesestadisticas/bolmetes.pdf.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Consultas: boletin.estad@bcra.gob.ar.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– Nota para los usuarios del programa SDDS del FMI: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El calendario anticipado de publicaciones para los cuatro próximos meses puede ser consultado en:</w:t>
      </w:r>
    </w:p>
    <w:p w:rsidR="007121F4" w:rsidRDefault="007121F4" w:rsidP="007121F4">
      <w:pPr>
        <w:pStyle w:val="Sinespaciado"/>
      </w:pPr>
    </w:p>
    <w:p w:rsidR="007121F4" w:rsidRDefault="007121F4" w:rsidP="007121F4">
      <w:pPr>
        <w:pStyle w:val="Sinespaciado"/>
      </w:pPr>
      <w:r>
        <w:t>http://www.economia.gob.ar/progeco/calendar.htm</w:t>
      </w:r>
    </w:p>
    <w:p w:rsidR="007121F4" w:rsidRDefault="007121F4" w:rsidP="007121F4">
      <w:pPr>
        <w:pStyle w:val="Sinespaciado"/>
      </w:pPr>
      <w:r>
        <w:t>B.C.R.A.</w:t>
      </w:r>
      <w:r>
        <w:tab/>
        <w:t>Coeficiente de Estabilización de Referencia (CER)</w:t>
      </w:r>
      <w:r>
        <w:tab/>
        <w:t>Anexo a la Com. B.C.R.A. “B” 11.667</w:t>
      </w:r>
    </w:p>
    <w:p w:rsidR="007121F4" w:rsidRDefault="007121F4" w:rsidP="007121F4">
      <w:pPr>
        <w:pStyle w:val="Sinespaciado"/>
      </w:pPr>
      <w:r>
        <w:t>IPC</w:t>
      </w:r>
      <w:r>
        <w:tab/>
        <w:t>Fecha a la que corresponde el coeficiente</w:t>
      </w:r>
      <w:r>
        <w:tab/>
      </w:r>
      <w:proofErr w:type="spellStart"/>
      <w:r>
        <w:t>Coeficiente</w:t>
      </w:r>
      <w:proofErr w:type="spellEnd"/>
      <w:r>
        <w:t xml:space="preserve"> de Estabilización de Referencia (CER)</w:t>
      </w:r>
    </w:p>
    <w:p w:rsidR="007121F4" w:rsidRDefault="007121F4" w:rsidP="007121F4">
      <w:pPr>
        <w:pStyle w:val="Sinespaciado"/>
      </w:pPr>
      <w:r>
        <w:lastRenderedPageBreak/>
        <w:t>Variación del índice de precios al consumidor utilizada para el cálculo del CER a partir de la fecha indicada</w:t>
      </w:r>
      <w:r>
        <w:tab/>
        <w:t>Base 2.2.2002=1</w:t>
      </w:r>
    </w:p>
    <w:p w:rsidR="007121F4" w:rsidRDefault="007121F4" w:rsidP="007121F4">
      <w:pPr>
        <w:pStyle w:val="Sinespaciado"/>
      </w:pPr>
      <w:r>
        <w:t>1,8</w:t>
      </w:r>
      <w:r>
        <w:tab/>
        <w:t>20180216</w:t>
      </w:r>
      <w:r>
        <w:tab/>
        <w:t>8,7097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20180217</w:t>
      </w:r>
      <w:r>
        <w:tab/>
        <w:t>8,7153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20180218</w:t>
      </w:r>
      <w:r>
        <w:tab/>
        <w:t>8,7209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20180219</w:t>
      </w:r>
      <w:r>
        <w:tab/>
        <w:t>8,7266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20180220</w:t>
      </w:r>
      <w:r>
        <w:tab/>
        <w:t>8,7322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20180221</w:t>
      </w:r>
      <w:r>
        <w:tab/>
        <w:t>8,7379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20180222</w:t>
      </w:r>
      <w:r>
        <w:tab/>
        <w:t>8,7436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20180223</w:t>
      </w:r>
      <w:r>
        <w:tab/>
        <w:t>8,7492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20180224</w:t>
      </w:r>
      <w:r>
        <w:tab/>
        <w:t>8,7549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20180225</w:t>
      </w:r>
      <w:r>
        <w:tab/>
        <w:t>8,7606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20180226</w:t>
      </w:r>
      <w:r>
        <w:tab/>
        <w:t>8,7662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20180227</w:t>
      </w:r>
      <w:r>
        <w:tab/>
        <w:t>8,7719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20180228</w:t>
      </w:r>
      <w:r>
        <w:tab/>
        <w:t>8,7776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20180301</w:t>
      </w:r>
      <w:r>
        <w:tab/>
        <w:t>8,7833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20180302</w:t>
      </w:r>
      <w:r>
        <w:tab/>
        <w:t>8,7890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20180303</w:t>
      </w:r>
      <w:r>
        <w:tab/>
        <w:t>8,7947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20180304</w:t>
      </w:r>
      <w:r>
        <w:tab/>
        <w:t>8,8004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20180305</w:t>
      </w:r>
      <w:r>
        <w:tab/>
        <w:t>8,8061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20180306</w:t>
      </w:r>
      <w:r>
        <w:tab/>
        <w:t>8,8118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20180307</w:t>
      </w:r>
      <w:r>
        <w:tab/>
        <w:t>8,8175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20180308</w:t>
      </w:r>
      <w:r>
        <w:tab/>
        <w:t>8,8232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20180309</w:t>
      </w:r>
      <w:r>
        <w:tab/>
        <w:t>8,8289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20180310</w:t>
      </w:r>
      <w:r>
        <w:tab/>
        <w:t>8,8346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20180311</w:t>
      </w:r>
      <w:r>
        <w:tab/>
        <w:t>8,8403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20180312</w:t>
      </w:r>
      <w:r>
        <w:tab/>
        <w:t>8,8461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20180313</w:t>
      </w:r>
      <w:r>
        <w:tab/>
        <w:t>8,8518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20180314</w:t>
      </w:r>
      <w:r>
        <w:tab/>
        <w:t>8,8575</w:t>
      </w:r>
    </w:p>
    <w:p w:rsidR="007121F4" w:rsidRDefault="007121F4" w:rsidP="007121F4">
      <w:pPr>
        <w:pStyle w:val="Sinespaciado"/>
      </w:pPr>
      <w:r>
        <w:t xml:space="preserve"> </w:t>
      </w:r>
      <w:r>
        <w:tab/>
        <w:t>20180315</w:t>
      </w:r>
      <w:r>
        <w:tab/>
        <w:t>8,8633</w:t>
      </w:r>
    </w:p>
    <w:p w:rsidR="00D27937" w:rsidRDefault="007121F4" w:rsidP="007121F4">
      <w:pPr>
        <w:pStyle w:val="Sinespaciado"/>
      </w:pPr>
      <w:r>
        <w:t>Cálculo según Ley 25.713, art. 1 (Res. M.E. 47/02; a partir del 7 de febrero de 2014, Res. M.E. y F.P. 35/14 y a partir del 7 de diciembre de 2015, Res. M.H. y F.P. 5/16, 17/16, 45/16, 100/16, 152/16, 187/16 y 203/16).</w:t>
      </w:r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4"/>
    <w:rsid w:val="007121F4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21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2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2018-02-19T15:33:00Z</dcterms:created>
  <dcterms:modified xsi:type="dcterms:W3CDTF">2018-02-19T15:34:00Z</dcterms:modified>
</cp:coreProperties>
</file>