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8E" w:rsidRPr="00EE6C8E" w:rsidRDefault="00EE6C8E" w:rsidP="00EE6C8E">
      <w:pPr>
        <w:spacing w:after="225" w:line="585" w:lineRule="atLeast"/>
        <w:outlineLvl w:val="0"/>
        <w:rPr>
          <w:rFonts w:ascii="Arial" w:eastAsia="Times New Roman" w:hAnsi="Arial" w:cs="Arial"/>
          <w:b/>
          <w:bCs/>
          <w:color w:val="18273B"/>
          <w:spacing w:val="-30"/>
          <w:kern w:val="36"/>
          <w:sz w:val="40"/>
          <w:szCs w:val="40"/>
          <w:lang w:eastAsia="es-AR"/>
        </w:rPr>
      </w:pPr>
      <w:r w:rsidRPr="00EE6C8E">
        <w:rPr>
          <w:rFonts w:ascii="Arial" w:eastAsia="Times New Roman" w:hAnsi="Arial" w:cs="Arial"/>
          <w:b/>
          <w:bCs/>
          <w:color w:val="18273B"/>
          <w:spacing w:val="-30"/>
          <w:kern w:val="36"/>
          <w:sz w:val="40"/>
          <w:szCs w:val="40"/>
          <w:lang w:eastAsia="es-AR"/>
        </w:rPr>
        <w:t>Revalúo contable, la oportunidad de la reforma tributaria que puede multiplicar el patrimonio de las empresas</w:t>
      </w:r>
    </w:p>
    <w:p w:rsidR="00EE6C8E" w:rsidRPr="00EE6C8E" w:rsidRDefault="00EE6C8E" w:rsidP="00EE6C8E">
      <w:pPr>
        <w:spacing w:after="150" w:line="345" w:lineRule="atLeast"/>
        <w:rPr>
          <w:rFonts w:ascii="Open Sans" w:eastAsia="Times New Roman" w:hAnsi="Open Sans" w:cs="Times New Roman"/>
          <w:b/>
          <w:bCs/>
          <w:color w:val="3B3F44"/>
          <w:sz w:val="23"/>
          <w:szCs w:val="23"/>
          <w:lang w:eastAsia="es-AR"/>
        </w:rPr>
      </w:pPr>
      <w:r w:rsidRPr="00EE6C8E">
        <w:rPr>
          <w:rFonts w:ascii="Open Sans" w:eastAsia="Times New Roman" w:hAnsi="Open Sans" w:cs="Times New Roman"/>
          <w:b/>
          <w:bCs/>
          <w:color w:val="20C0AC"/>
          <w:sz w:val="23"/>
          <w:szCs w:val="23"/>
          <w:lang w:eastAsia="es-AR"/>
        </w:rPr>
        <w:t>14-02-2018</w:t>
      </w:r>
      <w:r w:rsidRPr="00EE6C8E">
        <w:rPr>
          <w:rFonts w:ascii="Open Sans" w:eastAsia="Times New Roman" w:hAnsi="Open Sans" w:cs="Times New Roman"/>
          <w:b/>
          <w:bCs/>
          <w:color w:val="3B3F44"/>
          <w:sz w:val="23"/>
          <w:szCs w:val="23"/>
          <w:lang w:eastAsia="es-AR"/>
        </w:rPr>
        <w:t> Las empresas que apliquen el revalúo contable en sus balances tendrán un patrimonio sensiblemente mejor a aquellas que no lo realicen, por lo que comparativamente sus números resultarán más sanos y representativos de la realidad</w:t>
      </w:r>
    </w:p>
    <w:p w:rsidR="00EE6C8E" w:rsidRPr="00EE6C8E" w:rsidRDefault="00EE6C8E" w:rsidP="00EE6C8E">
      <w:pPr>
        <w:spacing w:after="0" w:line="300" w:lineRule="atLeast"/>
        <w:rPr>
          <w:rFonts w:ascii="Open Sans" w:eastAsia="Times New Roman" w:hAnsi="Open Sans" w:cs="Times New Roman"/>
          <w:color w:val="3B3F44"/>
          <w:sz w:val="20"/>
          <w:szCs w:val="20"/>
          <w:lang w:eastAsia="es-AR"/>
        </w:rPr>
      </w:pPr>
      <w:r w:rsidRPr="00EE6C8E">
        <w:rPr>
          <w:rFonts w:ascii="Open Sans" w:eastAsia="Times New Roman" w:hAnsi="Open Sans" w:cs="Times New Roman"/>
          <w:color w:val="3B3F44"/>
          <w:sz w:val="20"/>
          <w:szCs w:val="20"/>
          <w:lang w:eastAsia="es-AR"/>
        </w:rPr>
        <w:t>Por </w:t>
      </w:r>
      <w:r w:rsidRPr="00EE6C8E">
        <w:rPr>
          <w:rFonts w:ascii="Open Sans" w:eastAsia="Times New Roman" w:hAnsi="Open Sans" w:cs="Times New Roman"/>
          <w:b/>
          <w:bCs/>
          <w:color w:val="3B3F44"/>
          <w:sz w:val="20"/>
          <w:szCs w:val="20"/>
          <w:lang w:eastAsia="es-AR"/>
        </w:rPr>
        <w:t xml:space="preserve">Iván </w:t>
      </w:r>
      <w:proofErr w:type="spellStart"/>
      <w:r w:rsidRPr="00EE6C8E">
        <w:rPr>
          <w:rFonts w:ascii="Open Sans" w:eastAsia="Times New Roman" w:hAnsi="Open Sans" w:cs="Times New Roman"/>
          <w:b/>
          <w:bCs/>
          <w:color w:val="3B3F44"/>
          <w:sz w:val="20"/>
          <w:szCs w:val="20"/>
          <w:lang w:eastAsia="es-AR"/>
        </w:rPr>
        <w:t>Sasovsky</w:t>
      </w:r>
      <w:proofErr w:type="spellEnd"/>
      <w:r w:rsidRPr="00EE6C8E">
        <w:rPr>
          <w:rFonts w:ascii="Open Sans" w:eastAsia="Times New Roman" w:hAnsi="Open Sans" w:cs="Times New Roman"/>
          <w:b/>
          <w:bCs/>
          <w:color w:val="3B3F44"/>
          <w:sz w:val="20"/>
          <w:szCs w:val="20"/>
          <w:lang w:eastAsia="es-AR"/>
        </w:rPr>
        <w:t xml:space="preserve">, CEO de </w:t>
      </w:r>
      <w:proofErr w:type="spellStart"/>
      <w:r w:rsidRPr="00EE6C8E">
        <w:rPr>
          <w:rFonts w:ascii="Open Sans" w:eastAsia="Times New Roman" w:hAnsi="Open Sans" w:cs="Times New Roman"/>
          <w:b/>
          <w:bCs/>
          <w:color w:val="3B3F44"/>
          <w:sz w:val="20"/>
          <w:szCs w:val="20"/>
          <w:lang w:eastAsia="es-AR"/>
        </w:rPr>
        <w:t>Sasovsky</w:t>
      </w:r>
      <w:proofErr w:type="spellEnd"/>
      <w:r w:rsidRPr="00EE6C8E">
        <w:rPr>
          <w:rFonts w:ascii="Open Sans" w:eastAsia="Times New Roman" w:hAnsi="Open Sans" w:cs="Times New Roman"/>
          <w:b/>
          <w:bCs/>
          <w:color w:val="3B3F44"/>
          <w:sz w:val="20"/>
          <w:szCs w:val="20"/>
          <w:lang w:eastAsia="es-AR"/>
        </w:rPr>
        <w:t xml:space="preserve"> &amp; Asociados</w:t>
      </w:r>
    </w:p>
    <w:p w:rsidR="00EE6C8E" w:rsidRPr="00EE6C8E" w:rsidRDefault="00EE6C8E" w:rsidP="00EE6C8E">
      <w:pPr>
        <w:shd w:val="clear" w:color="auto" w:fill="FFFFFF"/>
        <w:spacing w:after="0" w:line="240" w:lineRule="auto"/>
        <w:rPr>
          <w:rFonts w:ascii="Open Sans" w:eastAsia="Times New Roman" w:hAnsi="Open Sans" w:cs="Times New Roman"/>
          <w:color w:val="3B3F44"/>
          <w:sz w:val="21"/>
          <w:szCs w:val="21"/>
          <w:lang w:eastAsia="es-AR"/>
        </w:rPr>
      </w:pPr>
    </w:p>
    <w:p w:rsidR="00EE6C8E" w:rsidRPr="00EE6C8E" w:rsidRDefault="00EE6C8E" w:rsidP="00EE6C8E">
      <w:pPr>
        <w:shd w:val="clear" w:color="auto" w:fill="FFFFFF"/>
        <w:spacing w:line="240" w:lineRule="auto"/>
        <w:ind w:left="45"/>
        <w:rPr>
          <w:rFonts w:ascii="Open Sans" w:eastAsia="Times New Roman" w:hAnsi="Open Sans" w:cs="Times New Roman"/>
          <w:color w:val="3B3F44"/>
          <w:sz w:val="21"/>
          <w:szCs w:val="21"/>
          <w:lang w:eastAsia="es-AR"/>
        </w:rPr>
      </w:pPr>
    </w:p>
    <w:p w:rsidR="00EE6C8E" w:rsidRDefault="00EE6C8E" w:rsidP="00EE6C8E">
      <w:pPr>
        <w:pStyle w:val="NormalWeb"/>
        <w:spacing w:before="0" w:beforeAutospacing="0" w:after="0" w:afterAutospacing="0"/>
      </w:pPr>
      <w:r>
        <w:t>L</w:t>
      </w:r>
      <w:r>
        <w:t>a renombrada</w:t>
      </w:r>
      <w:r>
        <w:rPr>
          <w:rStyle w:val="Textoennegrita"/>
        </w:rPr>
        <w:t> reforma tributaria</w:t>
      </w:r>
      <w:r>
        <w:t> que entró en vigencia a partir del</w:t>
      </w:r>
      <w:r>
        <w:rPr>
          <w:rStyle w:val="Textoennegrita"/>
        </w:rPr>
        <w:t> ejercicio 2018</w:t>
      </w:r>
      <w:r>
        <w:t xml:space="preserve">(aunque aún sin reglamentar), incorporó </w:t>
      </w:r>
      <w:proofErr w:type="spellStart"/>
      <w:r>
        <w:t>un</w:t>
      </w:r>
      <w:r>
        <w:rPr>
          <w:rStyle w:val="Textoennegrita"/>
        </w:rPr>
        <w:t>proyecto</w:t>
      </w:r>
      <w:proofErr w:type="spellEnd"/>
      <w:r>
        <w:t> que originalmente había sido elevado al Poder Legislativo por el Ejecutivo en septiembre del 2017 y que en su articulado que proponía el </w:t>
      </w:r>
      <w:r>
        <w:rPr>
          <w:rStyle w:val="Textoennegrita"/>
        </w:rPr>
        <w:t>revalúo impositivo</w:t>
      </w:r>
      <w:r>
        <w:t> y contable.</w:t>
      </w:r>
    </w:p>
    <w:p w:rsidR="00EE6C8E" w:rsidRDefault="00EE6C8E" w:rsidP="00EE6C8E">
      <w:pPr>
        <w:pStyle w:val="NormalWeb"/>
        <w:spacing w:before="0" w:beforeAutospacing="0" w:after="0" w:afterAutospacing="0"/>
      </w:pPr>
      <w:r>
        <w:t>La iniciativa apunta a reconocer los</w:t>
      </w:r>
      <w:r>
        <w:rPr>
          <w:rStyle w:val="Textoennegrita"/>
        </w:rPr>
        <w:t> estragos de la inflación </w:t>
      </w:r>
      <w:r>
        <w:t>y de una</w:t>
      </w:r>
      <w:r>
        <w:rPr>
          <w:rStyle w:val="Textoennegrita"/>
        </w:rPr>
        <w:t> exteriorización distorsionada </w:t>
      </w:r>
      <w:r>
        <w:t>de los patrimonios de las compañías que durante años han visto desangrar sus patrimonio por un capricho que nada tenía que ver con las reales manifestaciones de los patrimonios de las empresas.</w:t>
      </w:r>
    </w:p>
    <w:p w:rsidR="00EE6C8E" w:rsidRDefault="00EE6C8E" w:rsidP="00EE6C8E">
      <w:pPr>
        <w:pStyle w:val="NormalWeb"/>
        <w:spacing w:before="0" w:beforeAutospacing="0" w:after="0" w:afterAutospacing="0"/>
      </w:pPr>
      <w:r>
        <w:t>Pero ante tantos modificaciones relacionadas directamente con la determinación de los tributos, las relaciones entre el fisco y los contribuyentes, y la actualización de umbrales de </w:t>
      </w:r>
      <w:r>
        <w:rPr>
          <w:rStyle w:val="Textoennegrita"/>
        </w:rPr>
        <w:t>punibilidad</w:t>
      </w:r>
      <w:r>
        <w:t> para dentro del régimen</w:t>
      </w:r>
      <w:r>
        <w:rPr>
          <w:rStyle w:val="Textoennegrita"/>
        </w:rPr>
        <w:t> penal tributario</w:t>
      </w:r>
      <w:r>
        <w:t>, entre otros cambios de similar importancia, no se ha puesto en debate un capítulo que cuenta con tal sólo cuatro artículos dentro de semejante ley, pero que puede cambiar la realidad de las empresas: el </w:t>
      </w:r>
      <w:r>
        <w:rPr>
          <w:rStyle w:val="Textoennegrita"/>
        </w:rPr>
        <w:t>revalúo contable. </w:t>
      </w:r>
    </w:p>
    <w:p w:rsidR="00EE6C8E" w:rsidRDefault="00EE6C8E" w:rsidP="00EE6C8E">
      <w:pPr>
        <w:pStyle w:val="NormalWeb"/>
        <w:spacing w:before="0" w:beforeAutospacing="0" w:after="0" w:afterAutospacing="0"/>
      </w:pPr>
      <w:r>
        <w:t>El proyecto prevé que los sujetos que lleven registraciones contables que les permitan confeccionar </w:t>
      </w:r>
      <w:r>
        <w:rPr>
          <w:rStyle w:val="Textoennegrita"/>
        </w:rPr>
        <w:t>balances comerciales</w:t>
      </w:r>
      <w:r>
        <w:t> podrán ejercer </w:t>
      </w:r>
      <w:r>
        <w:rPr>
          <w:rStyle w:val="Textoennegrita"/>
        </w:rPr>
        <w:t>por única vez </w:t>
      </w:r>
      <w:r>
        <w:t>la opción de revaluar, a los efectos contables, los bienes incorporados en el activo del respectivo ente, conforme lo determine una</w:t>
      </w:r>
      <w:r>
        <w:rPr>
          <w:rStyle w:val="Textoennegrita"/>
        </w:rPr>
        <w:t> futura reglamentación</w:t>
      </w:r>
      <w:r>
        <w:t> del proyecto en cuestión.</w:t>
      </w:r>
    </w:p>
    <w:p w:rsidR="00EE6C8E" w:rsidRDefault="00EE6C8E" w:rsidP="00EE6C8E">
      <w:pPr>
        <w:pStyle w:val="NormalWeb"/>
        <w:spacing w:before="0" w:beforeAutospacing="0" w:after="0" w:afterAutospacing="0"/>
      </w:pPr>
      <w:r>
        <w:t>A tal fin, el mismo establece que se podrán aplicar cualquiera de los procedimientos que se detallan para el </w:t>
      </w:r>
      <w:r>
        <w:rPr>
          <w:rStyle w:val="Textoennegrita"/>
        </w:rPr>
        <w:t>revalúo impositivo</w:t>
      </w:r>
      <w:r>
        <w:t>, de alguna manera reconociendo la realidad económica del sujeto y una correspondencia lógica importante entre el</w:t>
      </w:r>
      <w:r>
        <w:rPr>
          <w:rStyle w:val="Textoennegrita"/>
        </w:rPr>
        <w:t> balance impositivo </w:t>
      </w:r>
      <w:r>
        <w:t>y el</w:t>
      </w:r>
      <w:r>
        <w:rPr>
          <w:rStyle w:val="Textoennegrita"/>
        </w:rPr>
        <w:t> contable. </w:t>
      </w:r>
    </w:p>
    <w:p w:rsidR="00EE6C8E" w:rsidRDefault="00EE6C8E" w:rsidP="00EE6C8E">
      <w:pPr>
        <w:pStyle w:val="NormalWeb"/>
        <w:spacing w:before="0" w:beforeAutospacing="0" w:after="0" w:afterAutospacing="0"/>
      </w:pPr>
      <w:r>
        <w:t>Todo ello con la limitación que el proyecto de la ley define que en los casos que si el método impositivo es el del uso del </w:t>
      </w:r>
      <w:r>
        <w:rPr>
          <w:rStyle w:val="Textoennegrita"/>
        </w:rPr>
        <w:t>factor de corrección</w:t>
      </w:r>
      <w:r>
        <w:t>, el mismo no será aplicable respecto de aquellos bienes cuya valuación debe medirse por su</w:t>
      </w:r>
      <w:r>
        <w:rPr>
          <w:rStyle w:val="Textoennegrita"/>
        </w:rPr>
        <w:t> valor de plaza o corriente</w:t>
      </w:r>
      <w:r>
        <w:t>, conforme las normas contables vigentes.</w:t>
      </w:r>
    </w:p>
    <w:p w:rsidR="00EE6C8E" w:rsidRDefault="00EE6C8E" w:rsidP="00EE6C8E">
      <w:pPr>
        <w:pStyle w:val="NormalWeb"/>
        <w:spacing w:before="0" w:beforeAutospacing="0" w:after="0" w:afterAutospacing="0"/>
      </w:pPr>
      <w:r>
        <w:t>Por su parte, la contrapartida de la aplicación del régimen de revalúo establecido en el proyecto se imputará a una </w:t>
      </w:r>
      <w:r>
        <w:rPr>
          <w:rStyle w:val="Textoennegrita"/>
        </w:rPr>
        <w:t>reserva específica </w:t>
      </w:r>
      <w:r>
        <w:t>dentro del </w:t>
      </w:r>
      <w:r>
        <w:rPr>
          <w:rStyle w:val="Textoennegrita"/>
        </w:rPr>
        <w:t>Patrimonio Neto</w:t>
      </w:r>
      <w:r>
        <w:t>, el cual no podrá ser distribuido y solo podrá destinarse a:</w:t>
      </w:r>
    </w:p>
    <w:p w:rsidR="00EE6C8E" w:rsidRDefault="00EE6C8E" w:rsidP="00EE6C8E">
      <w:pPr>
        <w:pStyle w:val="NormalWeb"/>
        <w:spacing w:before="0" w:beforeAutospacing="0" w:after="0" w:afterAutospacing="0"/>
      </w:pPr>
      <w:r>
        <w:t>a)</w:t>
      </w:r>
      <w:r>
        <w:rPr>
          <w:rStyle w:val="Textoennegrita"/>
        </w:rPr>
        <w:t xml:space="preserve"> absorber pérdidas </w:t>
      </w:r>
      <w:r>
        <w:t>acumuladas, de acuerdo con lo establecido en las normas legales que resulten aplicables a cada tipo de ente; o</w:t>
      </w:r>
    </w:p>
    <w:p w:rsidR="00EE6C8E" w:rsidRDefault="00EE6C8E" w:rsidP="00EE6C8E">
      <w:pPr>
        <w:pStyle w:val="NormalWeb"/>
        <w:spacing w:before="0" w:beforeAutospacing="0" w:after="0" w:afterAutospacing="0"/>
      </w:pPr>
      <w:r>
        <w:t xml:space="preserve">b) </w:t>
      </w:r>
      <w:r>
        <w:rPr>
          <w:rStyle w:val="Textoennegrita"/>
        </w:rPr>
        <w:t>ser capitalizado. </w:t>
      </w:r>
    </w:p>
    <w:p w:rsidR="00EE6C8E" w:rsidRDefault="00EE6C8E" w:rsidP="00EE6C8E">
      <w:pPr>
        <w:pStyle w:val="NormalWeb"/>
        <w:spacing w:before="0" w:beforeAutospacing="0" w:after="0" w:afterAutospacing="0"/>
      </w:pPr>
      <w:r>
        <w:lastRenderedPageBreak/>
        <w:t>Por último, la opción de este revalúo, sólo puede ejercerse para el</w:t>
      </w:r>
      <w:r>
        <w:rPr>
          <w:rStyle w:val="Textoennegrita"/>
        </w:rPr>
        <w:t> primer ejercicio comercial </w:t>
      </w:r>
      <w:r>
        <w:t>cerrado con posterioridad a la entrada en vigencia de la Ley 27.430.</w:t>
      </w:r>
    </w:p>
    <w:p w:rsidR="00EE6C8E" w:rsidRDefault="00EE6C8E" w:rsidP="00EE6C8E">
      <w:pPr>
        <w:pStyle w:val="NormalWeb"/>
        <w:spacing w:before="0" w:beforeAutospacing="0" w:after="0" w:afterAutospacing="0"/>
      </w:pPr>
      <w:r>
        <w:rPr>
          <w:rStyle w:val="Textoennegrita"/>
          <w:color w:val="333399"/>
        </w:rPr>
        <w:t>Aspecto subjetivo</w:t>
      </w:r>
    </w:p>
    <w:p w:rsidR="00EE6C8E" w:rsidRDefault="00EE6C8E" w:rsidP="00EE6C8E">
      <w:pPr>
        <w:pStyle w:val="NormalWeb"/>
        <w:spacing w:before="0" w:beforeAutospacing="0" w:after="0" w:afterAutospacing="0"/>
      </w:pPr>
      <w:r>
        <w:t>Podrán hacer uso de esta herramienta, todos aquellos sujetos que lleven </w:t>
      </w:r>
      <w:r>
        <w:rPr>
          <w:rStyle w:val="Textoennegrita"/>
        </w:rPr>
        <w:t>registraciones contables</w:t>
      </w:r>
      <w:r>
        <w:t> que les permitan confeccionar balances comerciales.</w:t>
      </w:r>
    </w:p>
    <w:p w:rsidR="00EE6C8E" w:rsidRDefault="00EE6C8E" w:rsidP="00EE6C8E">
      <w:pPr>
        <w:pStyle w:val="NormalWeb"/>
        <w:spacing w:before="0" w:beforeAutospacing="0" w:after="0" w:afterAutospacing="0"/>
      </w:pPr>
      <w:r>
        <w:rPr>
          <w:rStyle w:val="Textoennegrita"/>
          <w:color w:val="333399"/>
        </w:rPr>
        <w:t>Aspecto objetivo</w:t>
      </w:r>
    </w:p>
    <w:p w:rsidR="00EE6C8E" w:rsidRDefault="00EE6C8E" w:rsidP="00EE6C8E">
      <w:pPr>
        <w:pStyle w:val="NormalWeb"/>
        <w:spacing w:before="0" w:beforeAutospacing="0" w:after="0" w:afterAutospacing="0"/>
      </w:pPr>
      <w:r>
        <w:t>Podrán ejercer por única vez la opción de revaluar, a los efectos contables, los bienes incorporados en el activo del respectivo ente, conforme lo determine la </w:t>
      </w:r>
      <w:r>
        <w:rPr>
          <w:rStyle w:val="Textoennegrita"/>
        </w:rPr>
        <w:t>reglamentación</w:t>
      </w:r>
      <w:r>
        <w:t> y las normas contables profesionales.</w:t>
      </w:r>
    </w:p>
    <w:p w:rsidR="00EE6C8E" w:rsidRDefault="00EE6C8E" w:rsidP="00EE6C8E">
      <w:pPr>
        <w:pStyle w:val="NormalWeb"/>
        <w:shd w:val="clear" w:color="auto" w:fill="FFFFFF"/>
        <w:spacing w:before="0" w:beforeAutospacing="0" w:after="0" w:afterAutospacing="0"/>
        <w:rPr>
          <w:rFonts w:ascii="Open Sans" w:hAnsi="Open Sans"/>
          <w:color w:val="181D22"/>
          <w:sz w:val="23"/>
          <w:szCs w:val="23"/>
        </w:rPr>
      </w:pPr>
      <w:bookmarkStart w:id="0" w:name="_GoBack"/>
      <w:bookmarkEnd w:id="0"/>
      <w:r>
        <w:rPr>
          <w:rFonts w:ascii="Open Sans" w:hAnsi="Open Sans"/>
          <w:color w:val="181D22"/>
          <w:sz w:val="23"/>
          <w:szCs w:val="23"/>
        </w:rPr>
        <w:t>La contrapartida de la aplicación del régimen de revalúo establecido en esta norma legal se imputará a una </w:t>
      </w:r>
      <w:r>
        <w:rPr>
          <w:rStyle w:val="Textoennegrita"/>
          <w:rFonts w:ascii="Open Sans" w:hAnsi="Open Sans"/>
          <w:color w:val="181D22"/>
          <w:sz w:val="23"/>
          <w:szCs w:val="23"/>
        </w:rPr>
        <w:t>reserva específica</w:t>
      </w:r>
      <w:r>
        <w:rPr>
          <w:rFonts w:ascii="Open Sans" w:hAnsi="Open Sans"/>
          <w:color w:val="181D22"/>
          <w:sz w:val="23"/>
          <w:szCs w:val="23"/>
        </w:rPr>
        <w:t> dentro del </w:t>
      </w:r>
      <w:r>
        <w:rPr>
          <w:rStyle w:val="Textoennegrita"/>
          <w:rFonts w:ascii="Open Sans" w:hAnsi="Open Sans"/>
          <w:color w:val="181D22"/>
          <w:sz w:val="23"/>
          <w:szCs w:val="23"/>
        </w:rPr>
        <w:t>Patrimonio Neto</w:t>
      </w:r>
      <w:r>
        <w:rPr>
          <w:rFonts w:ascii="Open Sans" w:hAnsi="Open Sans"/>
          <w:color w:val="181D22"/>
          <w:sz w:val="23"/>
          <w:szCs w:val="23"/>
        </w:rPr>
        <w:t>, cuyo importe no podrá ser distribuido y tendrá el destino que a tal efecto establezca la reglamentación.</w:t>
      </w:r>
    </w:p>
    <w:p w:rsidR="00EE6C8E" w:rsidRDefault="00EE6C8E" w:rsidP="00EE6C8E">
      <w:pPr>
        <w:pStyle w:val="NormalWeb"/>
        <w:shd w:val="clear" w:color="auto" w:fill="FFFFFF"/>
        <w:spacing w:before="0" w:beforeAutospacing="0" w:after="0" w:afterAutospacing="0"/>
        <w:rPr>
          <w:rFonts w:ascii="Open Sans" w:hAnsi="Open Sans"/>
          <w:color w:val="181D22"/>
          <w:sz w:val="23"/>
          <w:szCs w:val="23"/>
        </w:rPr>
      </w:pPr>
      <w:r>
        <w:rPr>
          <w:rStyle w:val="Textoennegrita"/>
          <w:rFonts w:ascii="Open Sans" w:hAnsi="Open Sans"/>
          <w:color w:val="333399"/>
          <w:sz w:val="23"/>
          <w:szCs w:val="23"/>
        </w:rPr>
        <w:t>Aspecto temporal</w:t>
      </w:r>
    </w:p>
    <w:p w:rsidR="00EE6C8E" w:rsidRDefault="00EE6C8E" w:rsidP="00EE6C8E">
      <w:pPr>
        <w:pStyle w:val="NormalWeb"/>
        <w:shd w:val="clear" w:color="auto" w:fill="FFFFFF"/>
        <w:spacing w:before="0" w:beforeAutospacing="0" w:after="0" w:afterAutospacing="0"/>
        <w:rPr>
          <w:rFonts w:ascii="Open Sans" w:hAnsi="Open Sans"/>
          <w:color w:val="181D22"/>
          <w:sz w:val="23"/>
          <w:szCs w:val="23"/>
        </w:rPr>
      </w:pPr>
      <w:r>
        <w:rPr>
          <w:rFonts w:ascii="Open Sans" w:hAnsi="Open Sans"/>
          <w:color w:val="181D22"/>
          <w:sz w:val="23"/>
          <w:szCs w:val="23"/>
        </w:rPr>
        <w:t>La opción de revalúo contable sólo puede ejercerse para el </w:t>
      </w:r>
      <w:r>
        <w:rPr>
          <w:rStyle w:val="Textoennegrita"/>
          <w:rFonts w:ascii="Open Sans" w:hAnsi="Open Sans"/>
          <w:color w:val="181D22"/>
          <w:sz w:val="23"/>
          <w:szCs w:val="23"/>
        </w:rPr>
        <w:t xml:space="preserve">primer ejercicio </w:t>
      </w:r>
      <w:proofErr w:type="spellStart"/>
      <w:r>
        <w:rPr>
          <w:rStyle w:val="Textoennegrita"/>
          <w:rFonts w:ascii="Open Sans" w:hAnsi="Open Sans"/>
          <w:color w:val="181D22"/>
          <w:sz w:val="23"/>
          <w:szCs w:val="23"/>
        </w:rPr>
        <w:t>comercial</w:t>
      </w:r>
      <w:r>
        <w:rPr>
          <w:rFonts w:ascii="Open Sans" w:hAnsi="Open Sans"/>
          <w:color w:val="181D22"/>
          <w:sz w:val="23"/>
          <w:szCs w:val="23"/>
        </w:rPr>
        <w:t>cerrado</w:t>
      </w:r>
      <w:proofErr w:type="spellEnd"/>
      <w:r>
        <w:rPr>
          <w:rFonts w:ascii="Open Sans" w:hAnsi="Open Sans"/>
          <w:color w:val="181D22"/>
          <w:sz w:val="23"/>
          <w:szCs w:val="23"/>
        </w:rPr>
        <w:t xml:space="preserve"> con posterioridad a la entrada en vigencia de la ley.</w:t>
      </w:r>
    </w:p>
    <w:p w:rsidR="00EE6C8E" w:rsidRDefault="00EE6C8E" w:rsidP="00EE6C8E">
      <w:pPr>
        <w:pStyle w:val="NormalWeb"/>
        <w:shd w:val="clear" w:color="auto" w:fill="FFFFFF"/>
        <w:spacing w:before="0" w:beforeAutospacing="0" w:after="0" w:afterAutospacing="0"/>
        <w:rPr>
          <w:rFonts w:ascii="Open Sans" w:hAnsi="Open Sans"/>
          <w:color w:val="181D22"/>
          <w:sz w:val="23"/>
          <w:szCs w:val="23"/>
        </w:rPr>
      </w:pPr>
      <w:r>
        <w:rPr>
          <w:rStyle w:val="Textoennegrita"/>
          <w:rFonts w:ascii="Open Sans" w:hAnsi="Open Sans"/>
          <w:color w:val="333399"/>
          <w:sz w:val="23"/>
          <w:szCs w:val="23"/>
        </w:rPr>
        <w:t>Metodología de revalúo</w:t>
      </w:r>
    </w:p>
    <w:p w:rsidR="00EE6C8E" w:rsidRDefault="00EE6C8E" w:rsidP="00EE6C8E">
      <w:pPr>
        <w:pStyle w:val="NormalWeb"/>
        <w:shd w:val="clear" w:color="auto" w:fill="FFFFFF"/>
        <w:spacing w:before="0" w:beforeAutospacing="0" w:after="0" w:afterAutospacing="0"/>
        <w:rPr>
          <w:rFonts w:ascii="Open Sans" w:hAnsi="Open Sans"/>
          <w:color w:val="181D22"/>
          <w:sz w:val="23"/>
          <w:szCs w:val="23"/>
        </w:rPr>
      </w:pPr>
      <w:r>
        <w:rPr>
          <w:rFonts w:ascii="Open Sans" w:hAnsi="Open Sans"/>
          <w:color w:val="181D22"/>
          <w:sz w:val="23"/>
          <w:szCs w:val="23"/>
        </w:rPr>
        <w:t>La metodología que establece la ley para el revalúo contable es la misma que la citada ley establece para el </w:t>
      </w:r>
      <w:r>
        <w:rPr>
          <w:rStyle w:val="Textoennegrita"/>
          <w:rFonts w:ascii="Open Sans" w:hAnsi="Open Sans"/>
          <w:color w:val="181D22"/>
          <w:sz w:val="23"/>
          <w:szCs w:val="23"/>
        </w:rPr>
        <w:t>revalúo impositivo.</w:t>
      </w:r>
    </w:p>
    <w:p w:rsidR="00EE6C8E" w:rsidRDefault="00EE6C8E" w:rsidP="00EE6C8E">
      <w:pPr>
        <w:pStyle w:val="NormalWeb"/>
        <w:shd w:val="clear" w:color="auto" w:fill="FFFFFF"/>
        <w:spacing w:before="0" w:beforeAutospacing="0" w:after="225" w:afterAutospacing="0"/>
        <w:rPr>
          <w:rFonts w:ascii="Open Sans" w:hAnsi="Open Sans"/>
          <w:color w:val="181D22"/>
          <w:sz w:val="23"/>
          <w:szCs w:val="23"/>
        </w:rPr>
      </w:pPr>
      <w:r>
        <w:rPr>
          <w:rFonts w:ascii="Open Sans" w:hAnsi="Open Sans"/>
          <w:color w:val="181D22"/>
          <w:sz w:val="23"/>
          <w:szCs w:val="23"/>
        </w:rPr>
        <w:t>Recordamos que dicha metodología se basa en lo siguiente:</w:t>
      </w:r>
    </w:p>
    <w:p w:rsidR="00EE6C8E" w:rsidRDefault="00EE6C8E" w:rsidP="00EE6C8E">
      <w:pPr>
        <w:pStyle w:val="NormalWeb"/>
        <w:shd w:val="clear" w:color="auto" w:fill="FFFFFF"/>
        <w:spacing w:before="0" w:beforeAutospacing="0" w:after="0" w:afterAutospacing="0"/>
        <w:rPr>
          <w:rFonts w:ascii="Open Sans" w:hAnsi="Open Sans"/>
          <w:color w:val="181D22"/>
          <w:sz w:val="23"/>
          <w:szCs w:val="23"/>
        </w:rPr>
      </w:pPr>
      <w:r>
        <w:rPr>
          <w:rFonts w:ascii="Open Sans" w:hAnsi="Open Sans"/>
          <w:color w:val="181D22"/>
          <w:sz w:val="23"/>
          <w:szCs w:val="23"/>
        </w:rPr>
        <w:t>Una vez ejercida la opción, el </w:t>
      </w:r>
      <w:r>
        <w:rPr>
          <w:rStyle w:val="Textoennegrita"/>
          <w:rFonts w:ascii="Open Sans" w:hAnsi="Open Sans"/>
          <w:color w:val="181D22"/>
          <w:sz w:val="23"/>
          <w:szCs w:val="23"/>
        </w:rPr>
        <w:t>valor residual impositivo</w:t>
      </w:r>
      <w:r>
        <w:rPr>
          <w:rFonts w:ascii="Open Sans" w:hAnsi="Open Sans"/>
          <w:color w:val="181D22"/>
          <w:sz w:val="23"/>
          <w:szCs w:val="23"/>
        </w:rPr>
        <w:t> del bien al cierre del período de la opción será el que surja de aplicar el siguiente procedimiento:</w:t>
      </w:r>
    </w:p>
    <w:p w:rsidR="00EE6C8E" w:rsidRDefault="00EE6C8E" w:rsidP="00EE6C8E">
      <w:pPr>
        <w:pStyle w:val="NormalWeb"/>
        <w:shd w:val="clear" w:color="auto" w:fill="FFFFFF"/>
        <w:spacing w:before="0" w:beforeAutospacing="0" w:after="0" w:afterAutospacing="0"/>
        <w:rPr>
          <w:rFonts w:ascii="Open Sans" w:hAnsi="Open Sans"/>
          <w:color w:val="181D22"/>
          <w:sz w:val="23"/>
          <w:szCs w:val="23"/>
        </w:rPr>
      </w:pPr>
      <w:r>
        <w:rPr>
          <w:rFonts w:ascii="Open Sans" w:hAnsi="Open Sans"/>
          <w:color w:val="181D22"/>
          <w:sz w:val="23"/>
          <w:szCs w:val="23"/>
        </w:rPr>
        <w:t>a) El </w:t>
      </w:r>
      <w:r>
        <w:rPr>
          <w:rStyle w:val="Textoennegrita"/>
          <w:rFonts w:ascii="Open Sans" w:hAnsi="Open Sans"/>
          <w:color w:val="181D22"/>
          <w:sz w:val="23"/>
          <w:szCs w:val="23"/>
        </w:rPr>
        <w:t xml:space="preserve">costo de adquisición o </w:t>
      </w:r>
      <w:proofErr w:type="spellStart"/>
      <w:r>
        <w:rPr>
          <w:rStyle w:val="Textoennegrita"/>
          <w:rFonts w:ascii="Open Sans" w:hAnsi="Open Sans"/>
          <w:color w:val="181D22"/>
          <w:sz w:val="23"/>
          <w:szCs w:val="23"/>
        </w:rPr>
        <w:t>construcción</w:t>
      </w:r>
      <w:r>
        <w:rPr>
          <w:rFonts w:ascii="Open Sans" w:hAnsi="Open Sans"/>
          <w:color w:val="181D22"/>
          <w:sz w:val="23"/>
          <w:szCs w:val="23"/>
        </w:rPr>
        <w:t>determinado</w:t>
      </w:r>
      <w:proofErr w:type="spellEnd"/>
      <w:r>
        <w:rPr>
          <w:rFonts w:ascii="Open Sans" w:hAnsi="Open Sans"/>
          <w:color w:val="181D22"/>
          <w:sz w:val="23"/>
          <w:szCs w:val="23"/>
        </w:rPr>
        <w:t xml:space="preserve"> según las disposiciones de la Ley de </w:t>
      </w:r>
      <w:hyperlink r:id="rId6" w:tgtFrame="_blank" w:history="1">
        <w:r>
          <w:rPr>
            <w:rStyle w:val="Hipervnculo"/>
            <w:rFonts w:ascii="Open Sans" w:hAnsi="Open Sans"/>
            <w:color w:val="20C0AC"/>
            <w:sz w:val="23"/>
            <w:szCs w:val="23"/>
          </w:rPr>
          <w:t>Impuesto</w:t>
        </w:r>
      </w:hyperlink>
      <w:r>
        <w:rPr>
          <w:rFonts w:ascii="Open Sans" w:hAnsi="Open Sans"/>
          <w:color w:val="181D22"/>
          <w:sz w:val="23"/>
          <w:szCs w:val="23"/>
        </w:rPr>
        <w:t> a las Ganancias, texto ordenado en 1997 y sus modificaciones, se multiplicará por el </w:t>
      </w:r>
      <w:r>
        <w:rPr>
          <w:rStyle w:val="Textoennegrita"/>
          <w:rFonts w:ascii="Open Sans" w:hAnsi="Open Sans"/>
          <w:color w:val="181D22"/>
          <w:sz w:val="23"/>
          <w:szCs w:val="23"/>
        </w:rPr>
        <w:t>factor de revalúo</w:t>
      </w:r>
      <w:r>
        <w:rPr>
          <w:rFonts w:ascii="Open Sans" w:hAnsi="Open Sans"/>
          <w:color w:val="181D22"/>
          <w:sz w:val="23"/>
          <w:szCs w:val="23"/>
        </w:rPr>
        <w:t> correspondiente al año calendario, trimestre o mes de adquisición o construcción establecido en la siguiente planilla.</w:t>
      </w:r>
    </w:p>
    <w:p w:rsidR="00EE6C8E" w:rsidRDefault="00EE6C8E" w:rsidP="00EE6C8E">
      <w:pPr>
        <w:pStyle w:val="NormalWeb"/>
        <w:shd w:val="clear" w:color="auto" w:fill="FFFFFF"/>
        <w:spacing w:before="0" w:beforeAutospacing="0" w:after="0" w:afterAutospacing="0"/>
        <w:jc w:val="center"/>
        <w:rPr>
          <w:rFonts w:ascii="Open Sans" w:hAnsi="Open Sans"/>
          <w:color w:val="181D22"/>
          <w:sz w:val="23"/>
          <w:szCs w:val="23"/>
        </w:rPr>
      </w:pPr>
      <w:r>
        <w:rPr>
          <w:rFonts w:ascii="Open Sans" w:hAnsi="Open Sans"/>
          <w:noProof/>
          <w:color w:val="20C0AC"/>
          <w:sz w:val="23"/>
          <w:szCs w:val="23"/>
        </w:rPr>
        <w:lastRenderedPageBreak/>
        <w:drawing>
          <wp:inline distT="0" distB="0" distL="0" distR="0">
            <wp:extent cx="2762250" cy="5200650"/>
            <wp:effectExtent l="0" t="0" r="0" b="0"/>
            <wp:docPr id="1" name="Imagen 1" descr="http://www.iprofesional.com/adjuntos/jpg/2017/09/448018.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profesional.com/adjuntos/jpg/2017/09/448018.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5200650"/>
                    </a:xfrm>
                    <a:prstGeom prst="rect">
                      <a:avLst/>
                    </a:prstGeom>
                    <a:noFill/>
                    <a:ln>
                      <a:noFill/>
                    </a:ln>
                  </pic:spPr>
                </pic:pic>
              </a:graphicData>
            </a:graphic>
          </wp:inline>
        </w:drawing>
      </w:r>
    </w:p>
    <w:p w:rsidR="00EE6C8E" w:rsidRDefault="00EE6C8E"/>
    <w:sectPr w:rsidR="00EE6C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1E5"/>
    <w:multiLevelType w:val="multilevel"/>
    <w:tmpl w:val="576C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E"/>
    <w:rsid w:val="00797D1F"/>
    <w:rsid w:val="00EC57B7"/>
    <w:rsid w:val="00EE6C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E6C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6C8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E6C8E"/>
    <w:rPr>
      <w:b/>
      <w:bCs/>
    </w:rPr>
  </w:style>
  <w:style w:type="character" w:styleId="Hipervnculo">
    <w:name w:val="Hyperlink"/>
    <w:basedOn w:val="Fuentedeprrafopredeter"/>
    <w:uiPriority w:val="99"/>
    <w:semiHidden/>
    <w:unhideWhenUsed/>
    <w:rsid w:val="00EE6C8E"/>
    <w:rPr>
      <w:color w:val="0000FF"/>
      <w:u w:val="single"/>
    </w:rPr>
  </w:style>
  <w:style w:type="paragraph" w:styleId="Textodeglobo">
    <w:name w:val="Balloon Text"/>
    <w:basedOn w:val="Normal"/>
    <w:link w:val="TextodegloboCar"/>
    <w:uiPriority w:val="99"/>
    <w:semiHidden/>
    <w:unhideWhenUsed/>
    <w:rsid w:val="00EE6C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C8E"/>
    <w:rPr>
      <w:rFonts w:ascii="Tahoma" w:hAnsi="Tahoma" w:cs="Tahoma"/>
      <w:sz w:val="16"/>
      <w:szCs w:val="16"/>
    </w:rPr>
  </w:style>
  <w:style w:type="character" w:customStyle="1" w:styleId="Ttulo1Car">
    <w:name w:val="Título 1 Car"/>
    <w:basedOn w:val="Fuentedeprrafopredeter"/>
    <w:link w:val="Ttulo1"/>
    <w:uiPriority w:val="9"/>
    <w:rsid w:val="00EE6C8E"/>
    <w:rPr>
      <w:rFonts w:ascii="Times New Roman" w:eastAsia="Times New Roman" w:hAnsi="Times New Roman" w:cs="Times New Roman"/>
      <w:b/>
      <w:bCs/>
      <w:kern w:val="36"/>
      <w:sz w:val="48"/>
      <w:szCs w:val="48"/>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E6C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6C8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E6C8E"/>
    <w:rPr>
      <w:b/>
      <w:bCs/>
    </w:rPr>
  </w:style>
  <w:style w:type="character" w:styleId="Hipervnculo">
    <w:name w:val="Hyperlink"/>
    <w:basedOn w:val="Fuentedeprrafopredeter"/>
    <w:uiPriority w:val="99"/>
    <w:semiHidden/>
    <w:unhideWhenUsed/>
    <w:rsid w:val="00EE6C8E"/>
    <w:rPr>
      <w:color w:val="0000FF"/>
      <w:u w:val="single"/>
    </w:rPr>
  </w:style>
  <w:style w:type="paragraph" w:styleId="Textodeglobo">
    <w:name w:val="Balloon Text"/>
    <w:basedOn w:val="Normal"/>
    <w:link w:val="TextodegloboCar"/>
    <w:uiPriority w:val="99"/>
    <w:semiHidden/>
    <w:unhideWhenUsed/>
    <w:rsid w:val="00EE6C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C8E"/>
    <w:rPr>
      <w:rFonts w:ascii="Tahoma" w:hAnsi="Tahoma" w:cs="Tahoma"/>
      <w:sz w:val="16"/>
      <w:szCs w:val="16"/>
    </w:rPr>
  </w:style>
  <w:style w:type="character" w:customStyle="1" w:styleId="Ttulo1Car">
    <w:name w:val="Título 1 Car"/>
    <w:basedOn w:val="Fuentedeprrafopredeter"/>
    <w:link w:val="Ttulo1"/>
    <w:uiPriority w:val="9"/>
    <w:rsid w:val="00EE6C8E"/>
    <w:rPr>
      <w:rFonts w:ascii="Times New Roman" w:eastAsia="Times New Roman" w:hAnsi="Times New Roman" w:cs="Times New Roman"/>
      <w:b/>
      <w:bCs/>
      <w:kern w:val="36"/>
      <w:sz w:val="48"/>
      <w:szCs w:val="4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941">
      <w:bodyDiv w:val="1"/>
      <w:marLeft w:val="0"/>
      <w:marRight w:val="0"/>
      <w:marTop w:val="0"/>
      <w:marBottom w:val="0"/>
      <w:divBdr>
        <w:top w:val="none" w:sz="0" w:space="0" w:color="auto"/>
        <w:left w:val="none" w:sz="0" w:space="0" w:color="auto"/>
        <w:bottom w:val="none" w:sz="0" w:space="0" w:color="auto"/>
        <w:right w:val="none" w:sz="0" w:space="0" w:color="auto"/>
      </w:divBdr>
    </w:div>
    <w:div w:id="199442604">
      <w:bodyDiv w:val="1"/>
      <w:marLeft w:val="0"/>
      <w:marRight w:val="0"/>
      <w:marTop w:val="0"/>
      <w:marBottom w:val="0"/>
      <w:divBdr>
        <w:top w:val="none" w:sz="0" w:space="0" w:color="auto"/>
        <w:left w:val="none" w:sz="0" w:space="0" w:color="auto"/>
        <w:bottom w:val="none" w:sz="0" w:space="0" w:color="auto"/>
        <w:right w:val="none" w:sz="0" w:space="0" w:color="auto"/>
      </w:divBdr>
      <w:divsChild>
        <w:div w:id="1088311266">
          <w:marLeft w:val="0"/>
          <w:marRight w:val="0"/>
          <w:marTop w:val="0"/>
          <w:marBottom w:val="150"/>
          <w:divBdr>
            <w:top w:val="none" w:sz="0" w:space="0" w:color="auto"/>
            <w:left w:val="none" w:sz="0" w:space="0" w:color="auto"/>
            <w:bottom w:val="single" w:sz="6" w:space="23" w:color="D4D6D7"/>
            <w:right w:val="none" w:sz="0" w:space="0" w:color="auto"/>
          </w:divBdr>
        </w:div>
        <w:div w:id="1726834846">
          <w:marLeft w:val="0"/>
          <w:marRight w:val="0"/>
          <w:marTop w:val="0"/>
          <w:marBottom w:val="225"/>
          <w:divBdr>
            <w:top w:val="none" w:sz="0" w:space="0" w:color="auto"/>
            <w:left w:val="none" w:sz="0" w:space="0" w:color="auto"/>
            <w:bottom w:val="none" w:sz="0" w:space="0" w:color="auto"/>
            <w:right w:val="none" w:sz="0" w:space="0" w:color="auto"/>
          </w:divBdr>
          <w:divsChild>
            <w:div w:id="382481508">
              <w:marLeft w:val="0"/>
              <w:marRight w:val="0"/>
              <w:marTop w:val="0"/>
              <w:marBottom w:val="0"/>
              <w:divBdr>
                <w:top w:val="none" w:sz="0" w:space="0" w:color="auto"/>
                <w:left w:val="none" w:sz="0" w:space="0" w:color="auto"/>
                <w:bottom w:val="none" w:sz="0" w:space="0" w:color="auto"/>
                <w:right w:val="none" w:sz="0" w:space="0" w:color="auto"/>
              </w:divBdr>
              <w:divsChild>
                <w:div w:id="1102265008">
                  <w:marLeft w:val="0"/>
                  <w:marRight w:val="0"/>
                  <w:marTop w:val="0"/>
                  <w:marBottom w:val="0"/>
                  <w:divBdr>
                    <w:top w:val="none" w:sz="0" w:space="0" w:color="auto"/>
                    <w:left w:val="none" w:sz="0" w:space="0" w:color="auto"/>
                    <w:bottom w:val="none" w:sz="0" w:space="0" w:color="auto"/>
                    <w:right w:val="none" w:sz="0" w:space="0" w:color="auto"/>
                  </w:divBdr>
                </w:div>
              </w:divsChild>
            </w:div>
            <w:div w:id="1984501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48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iprofesional.com/adjuntos/jpg/2017/09/448018.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ofesional.com/notas/263134-afip-iva-impuestos-impuesto-reforma-tributaria-alberto-abad-La-AFIP-oficializo-cambios-en-el-calendario-de-vencimientos-de-impuesto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2018-02-14T14:24:00Z</dcterms:created>
  <dcterms:modified xsi:type="dcterms:W3CDTF">2018-02-14T14:27:00Z</dcterms:modified>
</cp:coreProperties>
</file>