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FF50" w14:textId="6EAEB098" w:rsidR="005E4174" w:rsidRPr="00330E3C" w:rsidRDefault="00000000" w:rsidP="00330E3C">
      <w:pPr>
        <w:spacing w:after="60"/>
        <w:jc w:val="both"/>
        <w:rPr>
          <w:sz w:val="24"/>
          <w:szCs w:val="24"/>
        </w:rPr>
      </w:pPr>
      <w:r w:rsidRPr="00330E3C">
        <w:rPr>
          <w:b/>
          <w:bCs/>
          <w:color w:val="1F4E79"/>
          <w:sz w:val="24"/>
          <w:szCs w:val="24"/>
        </w:rPr>
        <w:t>Resolución</w:t>
      </w:r>
      <w:r w:rsidR="004A0BC2" w:rsidRPr="00330E3C">
        <w:rPr>
          <w:b/>
          <w:bCs/>
          <w:color w:val="1F4E79"/>
          <w:sz w:val="24"/>
          <w:szCs w:val="24"/>
        </w:rPr>
        <w:t xml:space="preserve"> Conjunta ARCA</w:t>
      </w:r>
    </w:p>
    <w:p w14:paraId="725B8510" w14:textId="77777777" w:rsidR="005E4174" w:rsidRPr="00330E3C" w:rsidRDefault="00000000" w:rsidP="00330E3C">
      <w:pPr>
        <w:spacing w:after="40"/>
        <w:jc w:val="both"/>
        <w:rPr>
          <w:sz w:val="20"/>
          <w:szCs w:val="20"/>
        </w:rPr>
      </w:pPr>
      <w:r w:rsidRPr="00330E3C">
        <w:rPr>
          <w:sz w:val="20"/>
          <w:szCs w:val="20"/>
        </w:rPr>
        <w:t>RESOG-2026-5867-E-ARCA-ARCA y su Anexo</w:t>
      </w:r>
    </w:p>
    <w:p w14:paraId="3C0CB152" w14:textId="77777777" w:rsidR="005E4174" w:rsidRPr="00330E3C" w:rsidRDefault="00000000" w:rsidP="00330E3C">
      <w:pPr>
        <w:pBdr>
          <w:bottom w:val="single" w:sz="6" w:space="6" w:color="1F4E79"/>
        </w:pBdr>
        <w:spacing w:after="100"/>
        <w:jc w:val="both"/>
        <w:rPr>
          <w:sz w:val="20"/>
          <w:szCs w:val="20"/>
        </w:rPr>
      </w:pPr>
      <w:r w:rsidRPr="00330E3C">
        <w:rPr>
          <w:i/>
          <w:iCs/>
          <w:color w:val="666666"/>
          <w:sz w:val="20"/>
          <w:szCs w:val="20"/>
        </w:rPr>
        <w:t xml:space="preserve">Resolución General Conjunta — IGPJ Salta y ARCA — </w:t>
      </w:r>
      <w:proofErr w:type="gramStart"/>
      <w:r w:rsidRPr="00330E3C">
        <w:rPr>
          <w:i/>
          <w:iCs/>
          <w:color w:val="666666"/>
          <w:sz w:val="20"/>
          <w:szCs w:val="20"/>
        </w:rPr>
        <w:t>Junio</w:t>
      </w:r>
      <w:proofErr w:type="gramEnd"/>
      <w:r w:rsidRPr="00330E3C">
        <w:rPr>
          <w:i/>
          <w:iCs/>
          <w:color w:val="666666"/>
          <w:sz w:val="20"/>
          <w:szCs w:val="20"/>
        </w:rPr>
        <w:t xml:space="preserve"> de 2026</w:t>
      </w:r>
    </w:p>
    <w:p w14:paraId="4205A332" w14:textId="5CC23477" w:rsidR="005E4174" w:rsidRPr="00330E3C" w:rsidRDefault="00330E3C" w:rsidP="00330E3C">
      <w:pPr>
        <w:spacing w:after="120"/>
        <w:jc w:val="both"/>
        <w:rPr>
          <w:b/>
          <w:bCs/>
          <w:sz w:val="20"/>
          <w:szCs w:val="20"/>
        </w:rPr>
      </w:pPr>
      <w:r w:rsidRPr="00330E3C">
        <w:rPr>
          <w:b/>
          <w:bCs/>
          <w:sz w:val="20"/>
          <w:szCs w:val="20"/>
        </w:rPr>
        <w:t xml:space="preserve">Se trata de </w:t>
      </w:r>
      <w:proofErr w:type="gramStart"/>
      <w:r w:rsidRPr="00330E3C">
        <w:rPr>
          <w:b/>
          <w:bCs/>
          <w:sz w:val="20"/>
          <w:szCs w:val="20"/>
        </w:rPr>
        <w:t>una  resolución</w:t>
      </w:r>
      <w:proofErr w:type="gramEnd"/>
      <w:r w:rsidRPr="00330E3C">
        <w:rPr>
          <w:b/>
          <w:bCs/>
          <w:sz w:val="20"/>
          <w:szCs w:val="20"/>
        </w:rPr>
        <w:t xml:space="preserve"> general conjunta entre la Inspección General de Personas Jurídicas (IGPJ) de la Provincia de Salta y la Agencia de Recaudación y Control Aduanero (ARCA), dictada en junio de 2026.</w:t>
      </w:r>
    </w:p>
    <w:p w14:paraId="6D528928" w14:textId="77777777" w:rsidR="005E4174" w:rsidRPr="00330E3C" w:rsidRDefault="00000000" w:rsidP="00330E3C">
      <w:pPr>
        <w:pStyle w:val="Ttulo1"/>
        <w:jc w:val="both"/>
        <w:rPr>
          <w:sz w:val="20"/>
          <w:szCs w:val="20"/>
        </w:rPr>
      </w:pPr>
      <w:r w:rsidRPr="00330E3C">
        <w:rPr>
          <w:sz w:val="20"/>
          <w:szCs w:val="20"/>
        </w:rPr>
        <w:t>A quiénes alcanza</w:t>
      </w:r>
    </w:p>
    <w:p w14:paraId="1264B520" w14:textId="7C46A97D" w:rsidR="005E4174" w:rsidRPr="00330E3C" w:rsidRDefault="00000000" w:rsidP="00330E3C">
      <w:pPr>
        <w:spacing w:after="120"/>
        <w:jc w:val="both"/>
        <w:rPr>
          <w:sz w:val="20"/>
          <w:szCs w:val="20"/>
        </w:rPr>
      </w:pPr>
      <w:r w:rsidRPr="00330E3C">
        <w:rPr>
          <w:sz w:val="20"/>
          <w:szCs w:val="20"/>
        </w:rPr>
        <w:t xml:space="preserve">Asociaciones civiles de primer grado, simples asociaciones y fundaciones inscriptas y fiscalizadas por la IGPJ de Salta que estén comprendidas en la “Categoría I” </w:t>
      </w:r>
      <w:r w:rsidR="00330E3C" w:rsidRPr="00330E3C">
        <w:rPr>
          <w:sz w:val="20"/>
          <w:szCs w:val="20"/>
        </w:rPr>
        <w:t xml:space="preserve">(*) </w:t>
      </w:r>
      <w:r w:rsidRPr="00330E3C">
        <w:rPr>
          <w:sz w:val="20"/>
          <w:szCs w:val="20"/>
        </w:rPr>
        <w:t xml:space="preserve">las de menor nivel de actividad, según la Resolución General </w:t>
      </w:r>
      <w:proofErr w:type="spellStart"/>
      <w:r w:rsidRPr="00330E3C">
        <w:rPr>
          <w:sz w:val="20"/>
          <w:szCs w:val="20"/>
        </w:rPr>
        <w:t>N°</w:t>
      </w:r>
      <w:proofErr w:type="spellEnd"/>
      <w:r w:rsidRPr="00330E3C">
        <w:rPr>
          <w:sz w:val="20"/>
          <w:szCs w:val="20"/>
        </w:rPr>
        <w:t xml:space="preserve"> 4/IGPJ). Quedan excluidas las que no cuenten con un órgano de fiscalización.</w:t>
      </w:r>
    </w:p>
    <w:p w14:paraId="27C27382" w14:textId="498CF157" w:rsidR="00330E3C" w:rsidRPr="00330E3C" w:rsidRDefault="00330E3C" w:rsidP="00330E3C">
      <w:pPr>
        <w:spacing w:after="120"/>
        <w:jc w:val="both"/>
        <w:rPr>
          <w:i/>
          <w:iCs/>
          <w:sz w:val="20"/>
          <w:szCs w:val="20"/>
        </w:rPr>
      </w:pPr>
      <w:r w:rsidRPr="00330E3C">
        <w:rPr>
          <w:sz w:val="20"/>
          <w:szCs w:val="20"/>
        </w:rPr>
        <w:t xml:space="preserve">(*) </w:t>
      </w:r>
      <w:r w:rsidRPr="00330E3C">
        <w:rPr>
          <w:i/>
          <w:iCs/>
          <w:sz w:val="20"/>
          <w:szCs w:val="20"/>
        </w:rPr>
        <w:t>Categoría I: Quedan comprendidas en esta categoría, las Asociaciones Civiles de primer grado, Simples Asociaciones y Fundaciones radicadas en la provincia de Salta y sujetas al contralor de este organismo, cuyos ingresos brutos anuales no superen el límite máximo correspondiente a la Categoría "G", del Régimen Simplificado para Pequeños Contribuyentes (RS), o el equivalente que pueda surgir en el futuro, vigente al cierre de cada ejercicio. Esta categoría será conforme a la reglamentación conjunta que oportunamente se dicte con la Agencia de Recaudación y Control Aduanero (ARCA).</w:t>
      </w:r>
    </w:p>
    <w:p w14:paraId="3C854E30" w14:textId="77777777" w:rsidR="005E4174" w:rsidRPr="00330E3C" w:rsidRDefault="00000000" w:rsidP="00330E3C">
      <w:pPr>
        <w:pStyle w:val="Ttulo1"/>
        <w:jc w:val="both"/>
        <w:rPr>
          <w:sz w:val="20"/>
          <w:szCs w:val="20"/>
        </w:rPr>
      </w:pPr>
      <w:r w:rsidRPr="00330E3C">
        <w:rPr>
          <w:sz w:val="20"/>
          <w:szCs w:val="20"/>
        </w:rPr>
        <w:t>Qué dispone</w:t>
      </w:r>
    </w:p>
    <w:p w14:paraId="61155ECD" w14:textId="77777777" w:rsidR="005E4174" w:rsidRPr="00330E3C" w:rsidRDefault="00000000" w:rsidP="00330E3C">
      <w:pPr>
        <w:pStyle w:val="Prrafodelista"/>
        <w:numPr>
          <w:ilvl w:val="0"/>
          <w:numId w:val="2"/>
        </w:numPr>
        <w:spacing w:after="80"/>
        <w:jc w:val="both"/>
        <w:rPr>
          <w:sz w:val="20"/>
          <w:szCs w:val="20"/>
        </w:rPr>
      </w:pPr>
      <w:r w:rsidRPr="00330E3C">
        <w:rPr>
          <w:sz w:val="20"/>
          <w:szCs w:val="20"/>
        </w:rPr>
        <w:t xml:space="preserve">Estas entidades pueden presentar, dentro del régimen de simplificación contable, un </w:t>
      </w:r>
      <w:r w:rsidRPr="00330E3C">
        <w:rPr>
          <w:b/>
          <w:bCs/>
          <w:sz w:val="20"/>
          <w:szCs w:val="20"/>
        </w:rPr>
        <w:t>Estado de Recursos y Gastos</w:t>
      </w:r>
      <w:r w:rsidRPr="00330E3C">
        <w:rPr>
          <w:sz w:val="20"/>
          <w:szCs w:val="20"/>
        </w:rPr>
        <w:t xml:space="preserve"> según el modelo del Anexo, en lugar de estados contables más complejos.</w:t>
      </w:r>
    </w:p>
    <w:p w14:paraId="0BE2D6BC" w14:textId="77777777" w:rsidR="005E4174" w:rsidRPr="00330E3C" w:rsidRDefault="00000000" w:rsidP="00330E3C">
      <w:pPr>
        <w:pStyle w:val="Prrafodelista"/>
        <w:numPr>
          <w:ilvl w:val="0"/>
          <w:numId w:val="2"/>
        </w:numPr>
        <w:spacing w:after="80"/>
        <w:jc w:val="both"/>
        <w:rPr>
          <w:sz w:val="20"/>
          <w:szCs w:val="20"/>
        </w:rPr>
      </w:pPr>
      <w:r w:rsidRPr="00330E3C">
        <w:rPr>
          <w:sz w:val="20"/>
          <w:szCs w:val="20"/>
        </w:rPr>
        <w:t xml:space="preserve">La IGPJ debe informar a ARCA, mediante el formulario de declaración jurada </w:t>
      </w:r>
      <w:proofErr w:type="spellStart"/>
      <w:r w:rsidRPr="00330E3C">
        <w:rPr>
          <w:sz w:val="20"/>
          <w:szCs w:val="20"/>
        </w:rPr>
        <w:t>N°</w:t>
      </w:r>
      <w:proofErr w:type="spellEnd"/>
      <w:r w:rsidRPr="00330E3C">
        <w:rPr>
          <w:sz w:val="20"/>
          <w:szCs w:val="20"/>
        </w:rPr>
        <w:t xml:space="preserve"> 1266, las entidades que adhieran, dentro de los 15 días hábiles; ARCA las caracteriza en el “Sistema Registral” con el código </w:t>
      </w:r>
      <w:r w:rsidRPr="00330E3C">
        <w:rPr>
          <w:b/>
          <w:bCs/>
          <w:sz w:val="20"/>
          <w:szCs w:val="20"/>
        </w:rPr>
        <w:t>627</w:t>
      </w:r>
      <w:r w:rsidRPr="00330E3C">
        <w:rPr>
          <w:sz w:val="20"/>
          <w:szCs w:val="20"/>
        </w:rPr>
        <w:t>.</w:t>
      </w:r>
    </w:p>
    <w:p w14:paraId="6DAFF6E8" w14:textId="77777777" w:rsidR="00330E3C" w:rsidRDefault="00000000" w:rsidP="00330E3C">
      <w:pPr>
        <w:pStyle w:val="Prrafodelista"/>
        <w:numPr>
          <w:ilvl w:val="0"/>
          <w:numId w:val="2"/>
        </w:numPr>
        <w:spacing w:after="80"/>
        <w:rPr>
          <w:sz w:val="20"/>
          <w:szCs w:val="20"/>
        </w:rPr>
      </w:pPr>
      <w:r w:rsidRPr="00330E3C">
        <w:rPr>
          <w:sz w:val="20"/>
          <w:szCs w:val="20"/>
        </w:rPr>
        <w:t xml:space="preserve">El Estado se presenta ante ARCA mediante el servicio “Presentación Única de Balances (PUB)” con Clave Fiscal. Sirve como estado contable para obtener y mantener el </w:t>
      </w:r>
      <w:r w:rsidRPr="00330E3C">
        <w:rPr>
          <w:b/>
          <w:bCs/>
          <w:sz w:val="20"/>
          <w:szCs w:val="20"/>
        </w:rPr>
        <w:t>certificado de exención del impuesto a las ganancias</w:t>
      </w:r>
      <w:r w:rsidRPr="00330E3C">
        <w:rPr>
          <w:sz w:val="20"/>
          <w:szCs w:val="20"/>
        </w:rPr>
        <w:t>.</w:t>
      </w:r>
    </w:p>
    <w:p w14:paraId="39DF2836" w14:textId="18259B53" w:rsidR="00330E3C" w:rsidRPr="00330E3C" w:rsidRDefault="00330E3C" w:rsidP="00330E3C">
      <w:pPr>
        <w:pStyle w:val="Prrafodelista"/>
        <w:numPr>
          <w:ilvl w:val="0"/>
          <w:numId w:val="2"/>
        </w:numPr>
        <w:spacing w:after="80"/>
        <w:rPr>
          <w:sz w:val="20"/>
          <w:szCs w:val="20"/>
        </w:rPr>
      </w:pPr>
      <w:r w:rsidRPr="00330E3C">
        <w:rPr>
          <w:b/>
          <w:bCs/>
          <w:color w:val="1F4E79"/>
          <w:sz w:val="20"/>
          <w:szCs w:val="20"/>
        </w:rPr>
        <w:t xml:space="preserve"> </w:t>
      </w:r>
      <w:r w:rsidRPr="00330E3C">
        <w:rPr>
          <w:b/>
          <w:bCs/>
          <w:sz w:val="20"/>
          <w:szCs w:val="20"/>
        </w:rPr>
        <w:t xml:space="preserve">En síntesis: </w:t>
      </w:r>
      <w:r w:rsidRPr="00330E3C">
        <w:rPr>
          <w:i/>
          <w:iCs/>
          <w:sz w:val="20"/>
          <w:szCs w:val="20"/>
        </w:rPr>
        <w:t xml:space="preserve">simplifica la documentación contable que las pequeñas entidades sin fines de lucro de Salta </w:t>
      </w:r>
      <w:r>
        <w:rPr>
          <w:i/>
          <w:iCs/>
          <w:sz w:val="20"/>
          <w:szCs w:val="20"/>
        </w:rPr>
        <w:t xml:space="preserve">deben presentar </w:t>
      </w:r>
      <w:r w:rsidR="00DC6C75">
        <w:rPr>
          <w:i/>
          <w:iCs/>
          <w:sz w:val="20"/>
          <w:szCs w:val="20"/>
        </w:rPr>
        <w:t>ante la</w:t>
      </w:r>
      <w:r>
        <w:rPr>
          <w:i/>
          <w:iCs/>
          <w:sz w:val="20"/>
          <w:szCs w:val="20"/>
        </w:rPr>
        <w:t xml:space="preserve"> Inspección General de Personas Jurídicas</w:t>
      </w:r>
      <w:r w:rsidRPr="00330E3C">
        <w:rPr>
          <w:i/>
          <w:iCs/>
          <w:sz w:val="20"/>
          <w:szCs w:val="20"/>
        </w:rPr>
        <w:t xml:space="preserve"> </w:t>
      </w:r>
    </w:p>
    <w:p w14:paraId="0446434D" w14:textId="77777777" w:rsidR="005E4174" w:rsidRPr="00330E3C" w:rsidRDefault="00000000" w:rsidP="00330E3C">
      <w:pPr>
        <w:pStyle w:val="Ttulo1"/>
        <w:jc w:val="both"/>
        <w:rPr>
          <w:sz w:val="20"/>
          <w:szCs w:val="20"/>
        </w:rPr>
      </w:pPr>
      <w:r w:rsidRPr="00330E3C">
        <w:rPr>
          <w:sz w:val="20"/>
          <w:szCs w:val="20"/>
        </w:rPr>
        <w:t>Vigencia</w:t>
      </w:r>
    </w:p>
    <w:p w14:paraId="1690877D" w14:textId="77777777" w:rsidR="005E4174" w:rsidRPr="00330E3C" w:rsidRDefault="00000000" w:rsidP="00330E3C">
      <w:pPr>
        <w:spacing w:after="120"/>
        <w:jc w:val="both"/>
        <w:rPr>
          <w:sz w:val="20"/>
          <w:szCs w:val="20"/>
        </w:rPr>
      </w:pPr>
      <w:r w:rsidRPr="00330E3C">
        <w:rPr>
          <w:sz w:val="20"/>
          <w:szCs w:val="20"/>
        </w:rPr>
        <w:t xml:space="preserve">Rige desde su publicación en el Boletín Oficial y se aplica a los ejercicios económicos iniciados a partir del 1/1/2025. Las entidades que adeuden estados contables de períodos anteriores pueden regularizar su situación presentando este Estado hasta el </w:t>
      </w:r>
      <w:r w:rsidRPr="00330E3C">
        <w:rPr>
          <w:b/>
          <w:bCs/>
          <w:sz w:val="20"/>
          <w:szCs w:val="20"/>
        </w:rPr>
        <w:t>31/12/2026</w:t>
      </w:r>
      <w:r w:rsidRPr="00330E3C">
        <w:rPr>
          <w:sz w:val="20"/>
          <w:szCs w:val="20"/>
        </w:rPr>
        <w:t xml:space="preserve"> inclusive.</w:t>
      </w:r>
    </w:p>
    <w:p w14:paraId="41AA87D3" w14:textId="335ECC25" w:rsidR="005E4174" w:rsidRPr="00330E3C" w:rsidRDefault="00000000" w:rsidP="00330E3C">
      <w:pPr>
        <w:pStyle w:val="Ttulo1"/>
        <w:jc w:val="both"/>
        <w:rPr>
          <w:sz w:val="20"/>
          <w:szCs w:val="20"/>
        </w:rPr>
      </w:pPr>
      <w:r w:rsidRPr="00330E3C">
        <w:rPr>
          <w:sz w:val="20"/>
          <w:szCs w:val="20"/>
        </w:rPr>
        <w:t>Anexo</w:t>
      </w:r>
    </w:p>
    <w:p w14:paraId="46297315" w14:textId="6313EA41" w:rsidR="005E4174" w:rsidRPr="00330E3C" w:rsidRDefault="00000000" w:rsidP="00330E3C">
      <w:pPr>
        <w:spacing w:after="120"/>
        <w:jc w:val="both"/>
        <w:rPr>
          <w:sz w:val="20"/>
          <w:szCs w:val="20"/>
        </w:rPr>
      </w:pPr>
      <w:r w:rsidRPr="00330E3C">
        <w:rPr>
          <w:sz w:val="20"/>
          <w:szCs w:val="20"/>
        </w:rPr>
        <w:t>Es el formulario modelo del Estado de Recursos y Gastos. Lista los recursos (subsidios, donaciones, cuotas de asociados, etc.) y los gastos (sueldos y cargas sociales, honorarios, alquileres, servicios, impuestos y tasas, seguros, etc.), arroja el superávit o déficit del período y cierra con los datos y la firma del responsable o profesional contable.</w:t>
      </w:r>
    </w:p>
    <w:sectPr w:rsidR="005E4174" w:rsidRPr="00330E3C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55E60"/>
    <w:multiLevelType w:val="hybridMultilevel"/>
    <w:tmpl w:val="46EC6058"/>
    <w:lvl w:ilvl="0" w:tplc="77BE40D2">
      <w:start w:val="1"/>
      <w:numFmt w:val="bullet"/>
      <w:lvlText w:val="●"/>
      <w:lvlJc w:val="left"/>
      <w:pPr>
        <w:ind w:left="720" w:hanging="360"/>
      </w:pPr>
    </w:lvl>
    <w:lvl w:ilvl="1" w:tplc="0DCC972C">
      <w:start w:val="1"/>
      <w:numFmt w:val="bullet"/>
      <w:lvlText w:val="○"/>
      <w:lvlJc w:val="left"/>
      <w:pPr>
        <w:ind w:left="1440" w:hanging="360"/>
      </w:pPr>
    </w:lvl>
    <w:lvl w:ilvl="2" w:tplc="F53A64FE">
      <w:start w:val="1"/>
      <w:numFmt w:val="bullet"/>
      <w:lvlText w:val="■"/>
      <w:lvlJc w:val="left"/>
      <w:pPr>
        <w:ind w:left="2160" w:hanging="360"/>
      </w:pPr>
    </w:lvl>
    <w:lvl w:ilvl="3" w:tplc="0436D54A">
      <w:start w:val="1"/>
      <w:numFmt w:val="bullet"/>
      <w:lvlText w:val="●"/>
      <w:lvlJc w:val="left"/>
      <w:pPr>
        <w:ind w:left="2880" w:hanging="360"/>
      </w:pPr>
    </w:lvl>
    <w:lvl w:ilvl="4" w:tplc="F042DA32">
      <w:start w:val="1"/>
      <w:numFmt w:val="bullet"/>
      <w:lvlText w:val="○"/>
      <w:lvlJc w:val="left"/>
      <w:pPr>
        <w:ind w:left="3600" w:hanging="360"/>
      </w:pPr>
    </w:lvl>
    <w:lvl w:ilvl="5" w:tplc="4D40F534">
      <w:start w:val="1"/>
      <w:numFmt w:val="bullet"/>
      <w:lvlText w:val="■"/>
      <w:lvlJc w:val="left"/>
      <w:pPr>
        <w:ind w:left="4320" w:hanging="360"/>
      </w:pPr>
    </w:lvl>
    <w:lvl w:ilvl="6" w:tplc="87646902">
      <w:start w:val="1"/>
      <w:numFmt w:val="bullet"/>
      <w:lvlText w:val="●"/>
      <w:lvlJc w:val="left"/>
      <w:pPr>
        <w:ind w:left="5040" w:hanging="360"/>
      </w:pPr>
    </w:lvl>
    <w:lvl w:ilvl="7" w:tplc="D8BAF9E8">
      <w:start w:val="1"/>
      <w:numFmt w:val="bullet"/>
      <w:lvlText w:val="●"/>
      <w:lvlJc w:val="left"/>
      <w:pPr>
        <w:ind w:left="5760" w:hanging="360"/>
      </w:pPr>
    </w:lvl>
    <w:lvl w:ilvl="8" w:tplc="D2FA781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AC25270"/>
    <w:multiLevelType w:val="hybridMultilevel"/>
    <w:tmpl w:val="AE06D1AE"/>
    <w:lvl w:ilvl="0" w:tplc="8D08DA1C">
      <w:start w:val="1"/>
      <w:numFmt w:val="bullet"/>
      <w:lvlText w:val="•"/>
      <w:lvlJc w:val="left"/>
      <w:pPr>
        <w:ind w:left="720" w:hanging="360"/>
      </w:pPr>
    </w:lvl>
    <w:lvl w:ilvl="1" w:tplc="24926504">
      <w:numFmt w:val="decimal"/>
      <w:lvlText w:val=""/>
      <w:lvlJc w:val="left"/>
    </w:lvl>
    <w:lvl w:ilvl="2" w:tplc="A64E74E6">
      <w:numFmt w:val="decimal"/>
      <w:lvlText w:val=""/>
      <w:lvlJc w:val="left"/>
    </w:lvl>
    <w:lvl w:ilvl="3" w:tplc="208C02E4">
      <w:numFmt w:val="decimal"/>
      <w:lvlText w:val=""/>
      <w:lvlJc w:val="left"/>
    </w:lvl>
    <w:lvl w:ilvl="4" w:tplc="1C0088AA">
      <w:numFmt w:val="decimal"/>
      <w:lvlText w:val=""/>
      <w:lvlJc w:val="left"/>
    </w:lvl>
    <w:lvl w:ilvl="5" w:tplc="4A6A218E">
      <w:numFmt w:val="decimal"/>
      <w:lvlText w:val=""/>
      <w:lvlJc w:val="left"/>
    </w:lvl>
    <w:lvl w:ilvl="6" w:tplc="8E82909C">
      <w:numFmt w:val="decimal"/>
      <w:lvlText w:val=""/>
      <w:lvlJc w:val="left"/>
    </w:lvl>
    <w:lvl w:ilvl="7" w:tplc="3C40BE16">
      <w:numFmt w:val="decimal"/>
      <w:lvlText w:val=""/>
      <w:lvlJc w:val="left"/>
    </w:lvl>
    <w:lvl w:ilvl="8" w:tplc="F5267B04">
      <w:numFmt w:val="decimal"/>
      <w:lvlText w:val=""/>
      <w:lvlJc w:val="left"/>
    </w:lvl>
  </w:abstractNum>
  <w:num w:numId="1" w16cid:durableId="771583131">
    <w:abstractNumId w:val="0"/>
    <w:lvlOverride w:ilvl="0">
      <w:startOverride w:val="1"/>
    </w:lvlOverride>
  </w:num>
  <w:num w:numId="2" w16cid:durableId="69187919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74"/>
    <w:rsid w:val="00330E3C"/>
    <w:rsid w:val="003A0083"/>
    <w:rsid w:val="004A0BC2"/>
    <w:rsid w:val="005E4174"/>
    <w:rsid w:val="00811839"/>
    <w:rsid w:val="009332A5"/>
    <w:rsid w:val="00A17636"/>
    <w:rsid w:val="00D500A7"/>
    <w:rsid w:val="00DC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3FC25"/>
  <w15:docId w15:val="{714FA726-35DF-4E99-AFF7-997DA5DC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80" w:after="160"/>
      <w:outlineLvl w:val="0"/>
    </w:pPr>
    <w:rPr>
      <w:b/>
      <w:bCs/>
      <w:color w:val="1F4E79"/>
      <w:sz w:val="30"/>
      <w:szCs w:val="30"/>
    </w:rPr>
  </w:style>
  <w:style w:type="paragraph" w:styleId="Ttulo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1F4E79"/>
      <w:sz w:val="24"/>
      <w:szCs w:val="24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Cecilia Cancinos</cp:lastModifiedBy>
  <cp:revision>2</cp:revision>
  <dcterms:created xsi:type="dcterms:W3CDTF">2026-06-30T13:05:00Z</dcterms:created>
  <dcterms:modified xsi:type="dcterms:W3CDTF">2026-06-30T13:05:00Z</dcterms:modified>
</cp:coreProperties>
</file>